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附件：项目要求及报价清单</w:t>
      </w:r>
    </w:p>
    <w:p>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一、项目基本情况：</w:t>
      </w:r>
      <w:r>
        <w:rPr>
          <w:rFonts w:hint="eastAsia" w:ascii="仿宋" w:hAnsi="仿宋" w:eastAsia="仿宋" w:cs="仿宋"/>
          <w:sz w:val="24"/>
          <w:szCs w:val="24"/>
        </w:rPr>
        <w:t>本项目为山东第一医科大学第三附属医院门诊楼血液层流病房风冷热泵机组维修，因门诊楼血液层流室外空调主机不能正常运行，为尽快恢复设备运行，特组织本次</w:t>
      </w:r>
      <w:r>
        <w:rPr>
          <w:rFonts w:hint="eastAsia" w:ascii="仿宋" w:hAnsi="仿宋" w:eastAsia="仿宋" w:cs="仿宋"/>
          <w:sz w:val="24"/>
          <w:szCs w:val="24"/>
          <w:lang w:eastAsia="zh-CN"/>
        </w:rPr>
        <w:t>采购。</w:t>
      </w:r>
      <w:r>
        <w:rPr>
          <w:rFonts w:hint="eastAsia" w:ascii="仿宋" w:hAnsi="仿宋" w:eastAsia="仿宋" w:cs="仿宋"/>
          <w:sz w:val="24"/>
          <w:szCs w:val="24"/>
        </w:rPr>
        <w:t>主要内容为风冷热泵机组检修、维修、调试等。</w:t>
      </w:r>
    </w:p>
    <w:p>
      <w:pPr>
        <w:pStyle w:val="2"/>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二、技术要求：</w:t>
      </w:r>
      <w:r>
        <w:rPr>
          <w:rFonts w:hint="eastAsia" w:ascii="仿宋" w:hAnsi="仿宋" w:eastAsia="仿宋" w:cs="仿宋"/>
          <w:sz w:val="24"/>
          <w:szCs w:val="24"/>
        </w:rPr>
        <w:t>本项目为包工包料、包质量项目，供应商必须对设备进行仔细排查，并解决一切影响设备运行的问题，确保维修、调试完成后，设备正常运行；用于本次维修的设备、配件、材料的品牌、质量必须与原机组配件一致。</w:t>
      </w:r>
    </w:p>
    <w:p>
      <w:pPr>
        <w:pStyle w:val="2"/>
        <w:widowControl w:val="0"/>
        <w:numPr>
          <w:numId w:val="0"/>
        </w:numPr>
        <w:spacing w:after="0"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三、售后服务及工期要求：</w:t>
      </w:r>
    </w:p>
    <w:p>
      <w:pPr>
        <w:pStyle w:val="2"/>
        <w:widowControl w:val="0"/>
        <w:numPr>
          <w:numId w:val="0"/>
        </w:numPr>
        <w:spacing w:after="0" w:line="360" w:lineRule="auto"/>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.售后服务：</w:t>
      </w:r>
    </w:p>
    <w:p>
      <w:pPr>
        <w:pStyle w:val="2"/>
        <w:widowControl w:val="0"/>
        <w:spacing w:after="0" w:line="360" w:lineRule="auto"/>
        <w:ind w:firstLine="480"/>
        <w:rPr>
          <w:rFonts w:hint="eastAsia" w:ascii="仿宋" w:hAnsi="仿宋" w:eastAsia="仿宋" w:cs="仿宋"/>
          <w:sz w:val="24"/>
          <w:szCs w:val="24"/>
        </w:rPr>
      </w:pPr>
      <w:r>
        <w:rPr>
          <w:rFonts w:hint="eastAsia" w:ascii="仿宋" w:hAnsi="仿宋" w:eastAsia="仿宋" w:cs="仿宋"/>
          <w:sz w:val="24"/>
          <w:szCs w:val="24"/>
        </w:rPr>
        <w:t>a.供应商负责保修的范围为</w:t>
      </w:r>
      <w:bookmarkStart w:id="0" w:name="_GoBack"/>
      <w:bookmarkEnd w:id="0"/>
      <w:r>
        <w:rPr>
          <w:rFonts w:hint="eastAsia" w:ascii="仿宋" w:hAnsi="仿宋" w:eastAsia="仿宋" w:cs="仿宋"/>
          <w:sz w:val="24"/>
          <w:szCs w:val="24"/>
        </w:rPr>
        <w:t>：本项目供货安装的全部内容。</w:t>
      </w:r>
    </w:p>
    <w:p>
      <w:pPr>
        <w:pStyle w:val="2"/>
        <w:widowControl w:val="0"/>
        <w:spacing w:after="0" w:line="360" w:lineRule="auto"/>
        <w:ind w:firstLine="480"/>
        <w:rPr>
          <w:rFonts w:hint="eastAsia" w:ascii="仿宋" w:hAnsi="仿宋" w:eastAsia="仿宋" w:cs="仿宋"/>
          <w:sz w:val="24"/>
          <w:szCs w:val="24"/>
        </w:rPr>
      </w:pPr>
      <w:r>
        <w:rPr>
          <w:rFonts w:hint="eastAsia" w:ascii="仿宋" w:hAnsi="仿宋" w:eastAsia="仿宋" w:cs="仿宋"/>
          <w:sz w:val="24"/>
          <w:szCs w:val="24"/>
        </w:rPr>
        <w:t>b.</w:t>
      </w:r>
      <w:r>
        <w:rPr>
          <w:rFonts w:hint="eastAsia" w:ascii="仿宋" w:hAnsi="仿宋" w:eastAsia="仿宋" w:cs="仿宋"/>
          <w:sz w:val="24"/>
          <w:szCs w:val="24"/>
        </w:rPr>
        <w:t>质量保修</w:t>
      </w:r>
      <w:r>
        <w:rPr>
          <w:rFonts w:hint="eastAsia" w:ascii="仿宋" w:hAnsi="仿宋" w:eastAsia="仿宋" w:cs="仿宋"/>
          <w:sz w:val="24"/>
          <w:szCs w:val="24"/>
        </w:rPr>
        <w:t>期：自项目竣工验收合格之日起：不少于</w:t>
      </w:r>
      <w:r>
        <w:rPr>
          <w:rFonts w:hint="eastAsia" w:ascii="仿宋" w:hAnsi="仿宋" w:eastAsia="仿宋" w:cs="仿宋"/>
          <w:sz w:val="24"/>
          <w:szCs w:val="24"/>
          <w:highlight w:val="none"/>
        </w:rPr>
        <w:t>两年</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c.质量保修期内</w:t>
      </w:r>
      <w:r>
        <w:rPr>
          <w:rFonts w:hint="eastAsia" w:ascii="仿宋" w:hAnsi="仿宋" w:eastAsia="仿宋" w:cs="仿宋"/>
          <w:sz w:val="24"/>
          <w:szCs w:val="24"/>
        </w:rPr>
        <w:t>，</w:t>
      </w:r>
      <w:r>
        <w:rPr>
          <w:rFonts w:hint="eastAsia" w:ascii="仿宋" w:hAnsi="仿宋" w:eastAsia="仿宋" w:cs="仿宋"/>
          <w:sz w:val="24"/>
          <w:szCs w:val="24"/>
        </w:rPr>
        <w:t>符合保修条件的，供应商应当在接到采购人发出的保修通知后1日内派人维修。供应商不按工程质量保修约定保修的，采购人可以另行委托其他单位保修，由供应商承担相应费用及责任。</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.计划工期：接到采购人通知后7日内完成全部维修内容，并调试合格</w:t>
      </w:r>
    </w:p>
    <w:p>
      <w:pPr>
        <w:pStyle w:val="2"/>
        <w:spacing w:line="360" w:lineRule="auto"/>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四、报价要求</w:t>
      </w:r>
    </w:p>
    <w:p>
      <w:pPr>
        <w:pStyle w:val="2"/>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本项目采用固定全费用综合单价报价方式，工程量据实结算，应商的报价须依据本项目实际情况、企业管理水平、技术水平和承受能力，并充分考虑各类风险（包含市场风险等风险），按照磋商文件的格式进行填报全费用综合单价及合价，（包括但不限人工费、材料费、机械费、安装费、措施费、管理费、规费、利润、税金等全部费用），任何报价时计算错误或漏项的风险一律由供应商承担。供应商应充分了解项目位置、道路、装卸限制及其他足以影响报价的情况；任何因忽视或误解等情况而导致的索赔或工期延长申请将不被批准。</w:t>
      </w:r>
    </w:p>
    <w:p>
      <w:pPr>
        <w:pStyle w:val="2"/>
        <w:numPr>
          <w:ilvl w:val="0"/>
          <w:numId w:val="1"/>
        </w:numPr>
        <w:spacing w:line="360" w:lineRule="auto"/>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付款方式</w:t>
      </w:r>
    </w:p>
    <w:p>
      <w:pPr>
        <w:pStyle w:val="2"/>
        <w:numPr>
          <w:numId w:val="0"/>
        </w:numPr>
        <w:spacing w:line="360" w:lineRule="auto"/>
        <w:ind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本项目无预付款，项目竣工验收合格后支付全部合同价款的95%，剩余5%质保期满无质量问题支付。成交供应商须向甲方开具正规增值税普通发票。</w:t>
      </w:r>
    </w:p>
    <w:p>
      <w:pPr>
        <w:pStyle w:val="2"/>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六、项目报价清单：</w:t>
      </w:r>
    </w:p>
    <w:tbl>
      <w:tblPr>
        <w:tblStyle w:val="4"/>
        <w:tblW w:w="9489" w:type="dxa"/>
        <w:jc w:val="center"/>
        <w:tblInd w:w="0" w:type="dxa"/>
        <w:tblLayout w:type="fixed"/>
        <w:tblCellMar>
          <w:top w:w="0" w:type="dxa"/>
          <w:left w:w="108" w:type="dxa"/>
          <w:bottom w:w="0" w:type="dxa"/>
          <w:right w:w="108" w:type="dxa"/>
        </w:tblCellMar>
      </w:tblPr>
      <w:tblGrid>
        <w:gridCol w:w="778"/>
        <w:gridCol w:w="1875"/>
        <w:gridCol w:w="1785"/>
        <w:gridCol w:w="675"/>
        <w:gridCol w:w="697"/>
        <w:gridCol w:w="1403"/>
        <w:gridCol w:w="1110"/>
        <w:gridCol w:w="1166"/>
      </w:tblGrid>
      <w:tr>
        <w:tblPrEx>
          <w:tblLayout w:type="fixed"/>
          <w:tblCellMar>
            <w:top w:w="0" w:type="dxa"/>
            <w:left w:w="108" w:type="dxa"/>
            <w:bottom w:w="0" w:type="dxa"/>
            <w:right w:w="108" w:type="dxa"/>
          </w:tblCellMar>
        </w:tblPrEx>
        <w:trPr>
          <w:trHeight w:val="585" w:hRule="atLeast"/>
          <w:jc w:val="center"/>
        </w:trPr>
        <w:tc>
          <w:tcPr>
            <w:tcW w:w="77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序号</w:t>
            </w:r>
          </w:p>
        </w:tc>
        <w:tc>
          <w:tcPr>
            <w:tcW w:w="1875"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项目名称</w:t>
            </w:r>
          </w:p>
        </w:tc>
        <w:tc>
          <w:tcPr>
            <w:tcW w:w="1785"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规格/参数</w:t>
            </w:r>
          </w:p>
        </w:tc>
        <w:tc>
          <w:tcPr>
            <w:tcW w:w="675"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单位</w:t>
            </w:r>
          </w:p>
        </w:tc>
        <w:tc>
          <w:tcPr>
            <w:tcW w:w="697"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数量</w:t>
            </w:r>
          </w:p>
        </w:tc>
        <w:tc>
          <w:tcPr>
            <w:tcW w:w="1403"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全费用综合单价（元）</w:t>
            </w:r>
          </w:p>
        </w:tc>
        <w:tc>
          <w:tcPr>
            <w:tcW w:w="1110"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合计（元）</w:t>
            </w:r>
          </w:p>
        </w:tc>
        <w:tc>
          <w:tcPr>
            <w:tcW w:w="116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备注</w:t>
            </w:r>
          </w:p>
        </w:tc>
      </w:tr>
      <w:tr>
        <w:tblPrEx>
          <w:tblLayout w:type="fixed"/>
          <w:tblCellMar>
            <w:top w:w="0" w:type="dxa"/>
            <w:left w:w="108" w:type="dxa"/>
            <w:bottom w:w="0" w:type="dxa"/>
            <w:right w:w="108" w:type="dxa"/>
          </w:tblCellMar>
        </w:tblPrEx>
        <w:trPr>
          <w:trHeight w:val="519" w:hRule="atLeast"/>
          <w:jc w:val="center"/>
        </w:trPr>
        <w:tc>
          <w:tcPr>
            <w:tcW w:w="778"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1</w:t>
            </w:r>
          </w:p>
        </w:tc>
        <w:tc>
          <w:tcPr>
            <w:tcW w:w="18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拆除烘干及检测压缩机</w:t>
            </w:r>
          </w:p>
        </w:tc>
        <w:tc>
          <w:tcPr>
            <w:tcW w:w="178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12匹</w:t>
            </w:r>
          </w:p>
        </w:tc>
        <w:tc>
          <w:tcPr>
            <w:tcW w:w="6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台</w:t>
            </w:r>
          </w:p>
        </w:tc>
        <w:tc>
          <w:tcPr>
            <w:tcW w:w="697"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6</w:t>
            </w:r>
          </w:p>
        </w:tc>
        <w:tc>
          <w:tcPr>
            <w:tcW w:w="1403"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10"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672" w:hRule="atLeast"/>
          <w:jc w:val="center"/>
        </w:trPr>
        <w:tc>
          <w:tcPr>
            <w:tcW w:w="778"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2</w:t>
            </w:r>
          </w:p>
        </w:tc>
        <w:tc>
          <w:tcPr>
            <w:tcW w:w="18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拆除及清除翅片换热器和储液器水分</w:t>
            </w:r>
          </w:p>
        </w:tc>
        <w:tc>
          <w:tcPr>
            <w:tcW w:w="178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c>
          <w:tcPr>
            <w:tcW w:w="6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台</w:t>
            </w:r>
          </w:p>
        </w:tc>
        <w:tc>
          <w:tcPr>
            <w:tcW w:w="697"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6</w:t>
            </w:r>
          </w:p>
        </w:tc>
        <w:tc>
          <w:tcPr>
            <w:tcW w:w="1403"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1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c>
          <w:tcPr>
            <w:tcW w:w="1166"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90" w:hRule="atLeast"/>
          <w:jc w:val="center"/>
        </w:trPr>
        <w:tc>
          <w:tcPr>
            <w:tcW w:w="778"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3</w:t>
            </w:r>
          </w:p>
        </w:tc>
        <w:tc>
          <w:tcPr>
            <w:tcW w:w="18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更换水氟冷媒换热器</w:t>
            </w:r>
          </w:p>
        </w:tc>
        <w:tc>
          <w:tcPr>
            <w:tcW w:w="178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冷媒板式换热器YCAE065GRME50</w:t>
            </w:r>
          </w:p>
        </w:tc>
        <w:tc>
          <w:tcPr>
            <w:tcW w:w="6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台</w:t>
            </w:r>
          </w:p>
        </w:tc>
        <w:tc>
          <w:tcPr>
            <w:tcW w:w="697"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4</w:t>
            </w:r>
          </w:p>
        </w:tc>
        <w:tc>
          <w:tcPr>
            <w:tcW w:w="1403"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10"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495" w:hRule="atLeast"/>
          <w:jc w:val="center"/>
        </w:trPr>
        <w:tc>
          <w:tcPr>
            <w:tcW w:w="778"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4</w:t>
            </w:r>
          </w:p>
        </w:tc>
        <w:tc>
          <w:tcPr>
            <w:tcW w:w="18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压缩机油加注</w:t>
            </w:r>
          </w:p>
        </w:tc>
        <w:tc>
          <w:tcPr>
            <w:tcW w:w="178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冷冻油S320</w:t>
            </w:r>
          </w:p>
        </w:tc>
        <w:tc>
          <w:tcPr>
            <w:tcW w:w="6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KG</w:t>
            </w:r>
          </w:p>
        </w:tc>
        <w:tc>
          <w:tcPr>
            <w:tcW w:w="697"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403"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10"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465" w:hRule="atLeast"/>
          <w:jc w:val="center"/>
        </w:trPr>
        <w:tc>
          <w:tcPr>
            <w:tcW w:w="778"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5</w:t>
            </w:r>
          </w:p>
        </w:tc>
        <w:tc>
          <w:tcPr>
            <w:tcW w:w="18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制冷剂填充</w:t>
            </w:r>
          </w:p>
        </w:tc>
        <w:tc>
          <w:tcPr>
            <w:tcW w:w="178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R410A</w:t>
            </w:r>
          </w:p>
        </w:tc>
        <w:tc>
          <w:tcPr>
            <w:tcW w:w="6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KG</w:t>
            </w:r>
          </w:p>
        </w:tc>
        <w:tc>
          <w:tcPr>
            <w:tcW w:w="697"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80</w:t>
            </w:r>
          </w:p>
        </w:tc>
        <w:tc>
          <w:tcPr>
            <w:tcW w:w="1403"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10"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300" w:hRule="atLeast"/>
          <w:jc w:val="center"/>
        </w:trPr>
        <w:tc>
          <w:tcPr>
            <w:tcW w:w="778"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6</w:t>
            </w:r>
          </w:p>
        </w:tc>
        <w:tc>
          <w:tcPr>
            <w:tcW w:w="18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系统调试</w:t>
            </w:r>
          </w:p>
        </w:tc>
        <w:tc>
          <w:tcPr>
            <w:tcW w:w="178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c>
          <w:tcPr>
            <w:tcW w:w="6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项</w:t>
            </w:r>
          </w:p>
        </w:tc>
        <w:tc>
          <w:tcPr>
            <w:tcW w:w="697"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1</w:t>
            </w:r>
          </w:p>
        </w:tc>
        <w:tc>
          <w:tcPr>
            <w:tcW w:w="1403"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10"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6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300" w:hRule="atLeast"/>
          <w:jc w:val="center"/>
        </w:trPr>
        <w:tc>
          <w:tcPr>
            <w:tcW w:w="778" w:type="dxa"/>
            <w:tcBorders>
              <w:top w:val="nil"/>
              <w:left w:val="single" w:color="000000" w:sz="8" w:space="0"/>
              <w:bottom w:val="nil"/>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875" w:type="dxa"/>
            <w:tcBorders>
              <w:top w:val="nil"/>
              <w:left w:val="nil"/>
              <w:bottom w:val="nil"/>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血液层流病房内吊顶恢复</w:t>
            </w:r>
          </w:p>
        </w:tc>
        <w:tc>
          <w:tcPr>
            <w:tcW w:w="1785" w:type="dxa"/>
            <w:tcBorders>
              <w:top w:val="nil"/>
              <w:left w:val="nil"/>
              <w:bottom w:val="nil"/>
              <w:right w:val="single" w:color="000000" w:sz="8" w:space="0"/>
            </w:tcBorders>
            <w:shd w:val="clear" w:color="auto" w:fill="auto"/>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含龙骨、基层板、面层板恢复；</w:t>
            </w:r>
          </w:p>
        </w:tc>
        <w:tc>
          <w:tcPr>
            <w:tcW w:w="675" w:type="dxa"/>
            <w:tcBorders>
              <w:top w:val="nil"/>
              <w:left w:val="nil"/>
              <w:bottom w:val="nil"/>
              <w:right w:val="single" w:color="000000" w:sz="8" w:space="0"/>
            </w:tcBorders>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c>
          <w:tcPr>
            <w:tcW w:w="697" w:type="dxa"/>
            <w:tcBorders>
              <w:top w:val="nil"/>
              <w:left w:val="nil"/>
              <w:bottom w:val="nil"/>
              <w:right w:val="single" w:color="000000" w:sz="8" w:space="0"/>
            </w:tcBorders>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403" w:type="dxa"/>
            <w:tcBorders>
              <w:top w:val="nil"/>
              <w:left w:val="nil"/>
              <w:bottom w:val="nil"/>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c>
          <w:tcPr>
            <w:tcW w:w="1110" w:type="dxa"/>
            <w:tcBorders>
              <w:top w:val="nil"/>
              <w:left w:val="nil"/>
              <w:bottom w:val="nil"/>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66" w:type="dxa"/>
            <w:tcBorders>
              <w:top w:val="nil"/>
              <w:left w:val="nil"/>
              <w:bottom w:val="nil"/>
              <w:right w:val="single" w:color="000000" w:sz="8" w:space="0"/>
            </w:tcBorders>
            <w:shd w:val="clear" w:color="auto" w:fill="auto"/>
            <w:noWrap/>
            <w:vAlign w:val="center"/>
          </w:tcPr>
          <w:p>
            <w:pPr>
              <w:rPr>
                <w:rFonts w:hint="eastAsia"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787" w:hRule="atLeast"/>
          <w:jc w:val="center"/>
        </w:trPr>
        <w:tc>
          <w:tcPr>
            <w:tcW w:w="778"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8</w:t>
            </w:r>
          </w:p>
        </w:tc>
        <w:tc>
          <w:tcPr>
            <w:tcW w:w="18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更换压缩机</w:t>
            </w:r>
          </w:p>
        </w:tc>
        <w:tc>
          <w:tcPr>
            <w:tcW w:w="178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12匹</w:t>
            </w:r>
          </w:p>
        </w:tc>
        <w:tc>
          <w:tcPr>
            <w:tcW w:w="6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台</w:t>
            </w:r>
          </w:p>
        </w:tc>
        <w:tc>
          <w:tcPr>
            <w:tcW w:w="697"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0</w:t>
            </w:r>
          </w:p>
        </w:tc>
        <w:tc>
          <w:tcPr>
            <w:tcW w:w="1403"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1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c>
          <w:tcPr>
            <w:tcW w:w="1166"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根据检测结果定据实结算</w:t>
            </w:r>
          </w:p>
        </w:tc>
      </w:tr>
      <w:tr>
        <w:tblPrEx>
          <w:tblLayout w:type="fixed"/>
          <w:tblCellMar>
            <w:top w:w="0" w:type="dxa"/>
            <w:left w:w="108" w:type="dxa"/>
            <w:bottom w:w="0" w:type="dxa"/>
            <w:right w:w="108" w:type="dxa"/>
          </w:tblCellMar>
        </w:tblPrEx>
        <w:trPr>
          <w:trHeight w:val="300" w:hRule="atLeast"/>
          <w:jc w:val="center"/>
        </w:trPr>
        <w:tc>
          <w:tcPr>
            <w:tcW w:w="778"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9</w:t>
            </w:r>
          </w:p>
        </w:tc>
        <w:tc>
          <w:tcPr>
            <w:tcW w:w="1875"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snapToGrid w:val="0"/>
                <w:color w:val="000000"/>
                <w:sz w:val="24"/>
                <w:szCs w:val="24"/>
                <w:lang w:bidi="ar"/>
              </w:rPr>
              <w:t>合计（元）</w:t>
            </w:r>
          </w:p>
        </w:tc>
        <w:tc>
          <w:tcPr>
            <w:tcW w:w="178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c>
          <w:tcPr>
            <w:tcW w:w="6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c>
          <w:tcPr>
            <w:tcW w:w="6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c>
          <w:tcPr>
            <w:tcW w:w="140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rPr>
            </w:pPr>
          </w:p>
        </w:tc>
        <w:tc>
          <w:tcPr>
            <w:tcW w:w="1110"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仿宋" w:hAnsi="仿宋" w:eastAsia="仿宋" w:cs="仿宋"/>
                <w:color w:val="000000"/>
                <w:sz w:val="24"/>
                <w:szCs w:val="24"/>
              </w:rPr>
            </w:pPr>
          </w:p>
        </w:tc>
        <w:tc>
          <w:tcPr>
            <w:tcW w:w="1166" w:type="dxa"/>
            <w:tcBorders>
              <w:top w:val="nil"/>
              <w:left w:val="nil"/>
              <w:bottom w:val="single" w:color="000000" w:sz="8" w:space="0"/>
              <w:right w:val="single" w:color="000000" w:sz="8" w:space="0"/>
            </w:tcBorders>
            <w:shd w:val="clear" w:color="auto" w:fill="auto"/>
            <w:noWrap/>
            <w:vAlign w:val="center"/>
          </w:tcPr>
          <w:p>
            <w:pPr>
              <w:rPr>
                <w:rFonts w:hint="eastAsia" w:ascii="仿宋" w:hAnsi="仿宋" w:eastAsia="仿宋" w:cs="仿宋"/>
                <w:color w:val="000000"/>
                <w:sz w:val="24"/>
                <w:szCs w:val="24"/>
              </w:rPr>
            </w:pPr>
          </w:p>
        </w:tc>
      </w:tr>
    </w:tbl>
    <w:p>
      <w:pPr>
        <w:pStyle w:val="2"/>
        <w:ind w:left="0" w:leftChars="0" w:firstLine="0" w:firstLineChars="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zh-CN" w:bidi="zh-CN"/>
        </w:rPr>
        <w:t>注：本报价清单中压缩机更换不计入合计金额，仅报压缩机更换单价，项目完成后此项内容根据供应商所报单价据实结算。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138F"/>
    <w:multiLevelType w:val="singleLevel"/>
    <w:tmpl w:val="3E2413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1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560" w:firstLineChars="200"/>
    </w:pPr>
    <w:rPr>
      <w:rFonts w:eastAsia="仿宋_GB2312"/>
      <w:sz w:val="24"/>
      <w:szCs w:val="20"/>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2023-11-24T06:08:13Z</dcterms:created>
  <dc:creator>Lenovo</dc:creator>
  <cp:lastModifiedBy>Lenovo</cp:lastModifiedBy>
  <dcterms:modified xsi:type="dcterms:W3CDTF">2023-11-24T06:28:39Z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